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8" o:title=""/>
          </v:shape>
          <o:OLEObject Type="Embed" ProgID="CorelDraw.Graphic.16" ShapeID="_x0000_i1025" DrawAspect="Content" ObjectID="_1712495145" r:id="rId9"/>
        </w:objec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Default="00C6789F" w:rsidP="00B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Default="0037410A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 w:rsidR="002A32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C6789F">
        <w:rPr>
          <w:rFonts w:ascii="Times New Roman" w:hAnsi="Times New Roman" w:cs="Times New Roman"/>
          <w:sz w:val="24"/>
          <w:szCs w:val="24"/>
        </w:rPr>
        <w:t>.20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 w:rsidR="00CD67E5"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221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F15D55" w:rsidP="00724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местной администрации </w:t>
      </w:r>
      <w:r w:rsidR="00724F91" w:rsidRPr="00724F91">
        <w:rPr>
          <w:rFonts w:ascii="Times New Roman" w:hAnsi="Times New Roman" w:cs="Times New Roman"/>
          <w:b/>
          <w:sz w:val="24"/>
          <w:szCs w:val="24"/>
        </w:rPr>
        <w:t xml:space="preserve">от 30.12.2021 №667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24F91" w:rsidRPr="0093394F"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поселение на 2022-2026 года</w:t>
      </w:r>
      <w:r w:rsidR="00C6789F">
        <w:rPr>
          <w:rFonts w:ascii="Times New Roman" w:hAnsi="Times New Roman" w:cs="Times New Roman"/>
          <w:b/>
          <w:sz w:val="24"/>
          <w:szCs w:val="24"/>
        </w:rPr>
        <w:t>»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Default="00C6789F" w:rsidP="00C047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</w:t>
      </w:r>
      <w:r w:rsidR="002D46E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C84FF2">
        <w:rPr>
          <w:rFonts w:ascii="Times New Roman" w:hAnsi="Times New Roman" w:cs="Times New Roman"/>
          <w:sz w:val="24"/>
          <w:szCs w:val="24"/>
        </w:rPr>
        <w:t>п.3.6 п</w:t>
      </w:r>
      <w:r w:rsidR="00C84FF2" w:rsidRPr="00C84FF2">
        <w:rPr>
          <w:rFonts w:ascii="Times New Roman" w:hAnsi="Times New Roman" w:cs="Times New Roman"/>
          <w:sz w:val="24"/>
          <w:szCs w:val="24"/>
        </w:rPr>
        <w:t>остановлени</w:t>
      </w:r>
      <w:r w:rsidR="00C84FF2">
        <w:rPr>
          <w:rFonts w:ascii="Times New Roman" w:hAnsi="Times New Roman" w:cs="Times New Roman"/>
          <w:sz w:val="24"/>
          <w:szCs w:val="24"/>
        </w:rPr>
        <w:t>я местной администрации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 от 16.10.</w:t>
      </w:r>
      <w:r w:rsidR="00C84FF2">
        <w:rPr>
          <w:rFonts w:ascii="Times New Roman" w:hAnsi="Times New Roman" w:cs="Times New Roman"/>
          <w:sz w:val="24"/>
          <w:szCs w:val="24"/>
        </w:rPr>
        <w:t>20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14 № 238 </w:t>
      </w:r>
      <w:r w:rsidR="00C84FF2">
        <w:rPr>
          <w:rFonts w:ascii="Times New Roman" w:hAnsi="Times New Roman" w:cs="Times New Roman"/>
          <w:sz w:val="24"/>
          <w:szCs w:val="24"/>
        </w:rPr>
        <w:t>«</w:t>
      </w:r>
      <w:r w:rsidR="00C84FF2" w:rsidRPr="00C84FF2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Пениковское сельское поселение Ломоносовский муниципальный район</w:t>
      </w:r>
      <w:r w:rsidR="00C84FF2">
        <w:rPr>
          <w:rFonts w:ascii="Times New Roman" w:hAnsi="Times New Roman" w:cs="Times New Roman"/>
          <w:sz w:val="24"/>
          <w:szCs w:val="24"/>
        </w:rPr>
        <w:t>»</w:t>
      </w:r>
      <w:r w:rsidR="00C04744">
        <w:rPr>
          <w:rFonts w:ascii="Times New Roman" w:hAnsi="Times New Roman" w:cs="Times New Roman"/>
          <w:sz w:val="24"/>
          <w:szCs w:val="24"/>
        </w:rPr>
        <w:t>, в соответствии с требованиями п</w:t>
      </w:r>
      <w:r w:rsidR="00C04744" w:rsidRPr="00C04744">
        <w:rPr>
          <w:rFonts w:ascii="Times New Roman" w:hAnsi="Times New Roman" w:cs="Times New Roman"/>
          <w:sz w:val="24"/>
          <w:szCs w:val="24"/>
        </w:rPr>
        <w:t>остановлени</w:t>
      </w:r>
      <w:r w:rsidR="00C04744">
        <w:rPr>
          <w:rFonts w:ascii="Times New Roman" w:hAnsi="Times New Roman" w:cs="Times New Roman"/>
          <w:sz w:val="24"/>
          <w:szCs w:val="24"/>
        </w:rPr>
        <w:t>я</w:t>
      </w:r>
      <w:r w:rsidR="00C04744" w:rsidRPr="00C04744">
        <w:rPr>
          <w:rFonts w:ascii="Times New Roman" w:hAnsi="Times New Roman" w:cs="Times New Roman"/>
          <w:sz w:val="24"/>
          <w:szCs w:val="24"/>
        </w:rPr>
        <w:t xml:space="preserve"> Правительства РФ от 30.12.2017</w:t>
      </w:r>
      <w:proofErr w:type="gramEnd"/>
      <w:r w:rsidR="00C04744" w:rsidRPr="00C04744">
        <w:rPr>
          <w:rFonts w:ascii="Times New Roman" w:hAnsi="Times New Roman" w:cs="Times New Roman"/>
          <w:sz w:val="24"/>
          <w:szCs w:val="24"/>
        </w:rPr>
        <w:t xml:space="preserve"> № 1710 </w:t>
      </w:r>
      <w:r w:rsidR="00C04744">
        <w:rPr>
          <w:rFonts w:ascii="Times New Roman" w:hAnsi="Times New Roman" w:cs="Times New Roman"/>
          <w:sz w:val="24"/>
          <w:szCs w:val="24"/>
        </w:rPr>
        <w:t>«О</w:t>
      </w:r>
      <w:r w:rsidR="00C04744" w:rsidRPr="00C04744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C04744">
        <w:rPr>
          <w:rFonts w:ascii="Times New Roman" w:hAnsi="Times New Roman" w:cs="Times New Roman"/>
          <w:sz w:val="24"/>
          <w:szCs w:val="24"/>
        </w:rPr>
        <w:t>Г</w:t>
      </w:r>
      <w:r w:rsidR="00C04744" w:rsidRPr="00C04744">
        <w:rPr>
          <w:rFonts w:ascii="Times New Roman" w:hAnsi="Times New Roman" w:cs="Times New Roman"/>
          <w:sz w:val="24"/>
          <w:szCs w:val="24"/>
        </w:rPr>
        <w:t>осударственной программы</w:t>
      </w:r>
      <w:r w:rsidR="00C04744">
        <w:rPr>
          <w:rFonts w:ascii="Times New Roman" w:hAnsi="Times New Roman" w:cs="Times New Roman"/>
          <w:sz w:val="24"/>
          <w:szCs w:val="24"/>
        </w:rPr>
        <w:t xml:space="preserve"> Р</w:t>
      </w:r>
      <w:r w:rsidR="00C04744" w:rsidRPr="00C0474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04744">
        <w:rPr>
          <w:rFonts w:ascii="Times New Roman" w:hAnsi="Times New Roman" w:cs="Times New Roman"/>
          <w:sz w:val="24"/>
          <w:szCs w:val="24"/>
        </w:rPr>
        <w:t>Ф</w:t>
      </w:r>
      <w:r w:rsidR="00C04744" w:rsidRPr="00C04744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C04744">
        <w:rPr>
          <w:rFonts w:ascii="Times New Roman" w:hAnsi="Times New Roman" w:cs="Times New Roman"/>
          <w:sz w:val="24"/>
          <w:szCs w:val="24"/>
        </w:rPr>
        <w:t>«О</w:t>
      </w:r>
      <w:r w:rsidR="00C04744" w:rsidRPr="00C04744">
        <w:rPr>
          <w:rFonts w:ascii="Times New Roman" w:hAnsi="Times New Roman" w:cs="Times New Roman"/>
          <w:sz w:val="24"/>
          <w:szCs w:val="24"/>
        </w:rPr>
        <w:t>беспечение доступным и комфортным</w:t>
      </w:r>
      <w:r w:rsidR="00C04744">
        <w:rPr>
          <w:rFonts w:ascii="Times New Roman" w:hAnsi="Times New Roman" w:cs="Times New Roman"/>
          <w:sz w:val="24"/>
          <w:szCs w:val="24"/>
        </w:rPr>
        <w:t xml:space="preserve"> </w:t>
      </w:r>
      <w:r w:rsidR="00C04744" w:rsidRPr="00C04744">
        <w:rPr>
          <w:rFonts w:ascii="Times New Roman" w:hAnsi="Times New Roman" w:cs="Times New Roman"/>
          <w:sz w:val="24"/>
          <w:szCs w:val="24"/>
        </w:rPr>
        <w:t>жильем и коммунальными услугами граждан</w:t>
      </w:r>
      <w:r w:rsidR="00C04744">
        <w:rPr>
          <w:rFonts w:ascii="Times New Roman" w:hAnsi="Times New Roman" w:cs="Times New Roman"/>
          <w:sz w:val="24"/>
          <w:szCs w:val="24"/>
        </w:rPr>
        <w:t xml:space="preserve"> Р</w:t>
      </w:r>
      <w:r w:rsidR="00C04744" w:rsidRPr="00C0474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04744">
        <w:rPr>
          <w:rFonts w:ascii="Times New Roman" w:hAnsi="Times New Roman" w:cs="Times New Roman"/>
          <w:sz w:val="24"/>
          <w:szCs w:val="24"/>
        </w:rPr>
        <w:t>Ф</w:t>
      </w:r>
      <w:r w:rsidR="00C04744" w:rsidRPr="00C04744">
        <w:rPr>
          <w:rFonts w:ascii="Times New Roman" w:hAnsi="Times New Roman" w:cs="Times New Roman"/>
          <w:sz w:val="24"/>
          <w:szCs w:val="24"/>
        </w:rPr>
        <w:t>едерации</w:t>
      </w:r>
      <w:r w:rsidR="00C04744">
        <w:rPr>
          <w:rFonts w:ascii="Times New Roman" w:hAnsi="Times New Roman" w:cs="Times New Roman"/>
          <w:sz w:val="24"/>
          <w:szCs w:val="24"/>
        </w:rPr>
        <w:t>»»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54095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7248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B54095">
        <w:rPr>
          <w:rFonts w:ascii="Times New Roman" w:hAnsi="Times New Roman" w:cs="Times New Roman"/>
          <w:sz w:val="24"/>
          <w:szCs w:val="24"/>
        </w:rPr>
        <w:t xml:space="preserve"> </w:t>
      </w:r>
      <w:r w:rsidR="0037410A">
        <w:rPr>
          <w:rFonts w:ascii="Times New Roman" w:hAnsi="Times New Roman" w:cs="Times New Roman"/>
          <w:sz w:val="24"/>
          <w:szCs w:val="24"/>
        </w:rPr>
        <w:t>Разделы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="00C04744" w:rsidRPr="00C0474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="00B54095" w:rsidRP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приложени</w:t>
      </w:r>
      <w:r w:rsidR="00B54095">
        <w:rPr>
          <w:rFonts w:ascii="Times New Roman" w:hAnsi="Times New Roman" w:cs="Times New Roman"/>
          <w:sz w:val="24"/>
          <w:szCs w:val="24"/>
        </w:rPr>
        <w:t>я</w:t>
      </w:r>
      <w:r w:rsidR="00072485">
        <w:rPr>
          <w:rFonts w:ascii="Times New Roman" w:hAnsi="Times New Roman" w:cs="Times New Roman"/>
          <w:sz w:val="24"/>
          <w:szCs w:val="24"/>
        </w:rPr>
        <w:t xml:space="preserve"> №</w:t>
      </w:r>
      <w:r w:rsidR="00C04744">
        <w:rPr>
          <w:rFonts w:ascii="Times New Roman" w:hAnsi="Times New Roman" w:cs="Times New Roman"/>
          <w:sz w:val="24"/>
          <w:szCs w:val="24"/>
        </w:rPr>
        <w:t>10</w:t>
      </w:r>
      <w:r w:rsidR="00072485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657CB0">
        <w:rPr>
          <w:rFonts w:ascii="Times New Roman" w:hAnsi="Times New Roman" w:cs="Times New Roman"/>
          <w:sz w:val="24"/>
          <w:szCs w:val="24"/>
        </w:rPr>
        <w:t>постановлени</w:t>
      </w:r>
      <w:r w:rsidR="00072485">
        <w:rPr>
          <w:rFonts w:ascii="Times New Roman" w:hAnsi="Times New Roman" w:cs="Times New Roman"/>
          <w:sz w:val="24"/>
          <w:szCs w:val="24"/>
        </w:rPr>
        <w:t>я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местной администрации от </w:t>
      </w:r>
      <w:r w:rsidR="00852044" w:rsidRPr="00852044">
        <w:rPr>
          <w:rFonts w:ascii="Times New Roman" w:hAnsi="Times New Roman" w:cs="Times New Roman"/>
          <w:sz w:val="24"/>
          <w:szCs w:val="24"/>
        </w:rPr>
        <w:t>30.12.2021 №667</w:t>
      </w:r>
      <w:r w:rsidR="00852044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BC0EF9">
        <w:rPr>
          <w:rFonts w:ascii="Times New Roman" w:hAnsi="Times New Roman" w:cs="Times New Roman"/>
          <w:sz w:val="24"/>
          <w:szCs w:val="24"/>
        </w:rPr>
        <w:t>муниципальн</w:t>
      </w:r>
      <w:r w:rsidR="00072485">
        <w:rPr>
          <w:rFonts w:ascii="Times New Roman" w:hAnsi="Times New Roman" w:cs="Times New Roman"/>
          <w:sz w:val="24"/>
          <w:szCs w:val="24"/>
        </w:rPr>
        <w:t>ую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2485">
        <w:rPr>
          <w:rFonts w:ascii="Times New Roman" w:hAnsi="Times New Roman" w:cs="Times New Roman"/>
          <w:sz w:val="24"/>
          <w:szCs w:val="24"/>
        </w:rPr>
        <w:t>у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«</w:t>
      </w:r>
      <w:r w:rsidR="00852044" w:rsidRPr="00852044">
        <w:rPr>
          <w:rFonts w:ascii="Times New Roman" w:hAnsi="Times New Roman"/>
          <w:sz w:val="24"/>
          <w:szCs w:val="24"/>
          <w:lang w:eastAsia="ru-RU"/>
        </w:rPr>
        <w:t>Развитие автомобильных дорог и повышение безопасности дорожного движения в муниципальном образовании Пениковское сельское поселение</w:t>
      </w:r>
      <w:r w:rsidR="00072485">
        <w:rPr>
          <w:rFonts w:ascii="Times New Roman" w:hAnsi="Times New Roman" w:cs="Times New Roman"/>
          <w:sz w:val="24"/>
          <w:szCs w:val="24"/>
        </w:rPr>
        <w:t>» в соответствии с приложением №1</w:t>
      </w:r>
      <w:r w:rsidRPr="00F15D5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peniki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47.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 (обнародования).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78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04744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C6789F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852044" w:rsidRDefault="00C6789F" w:rsidP="00CD67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2044" w:rsidSect="00CF0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МО Пениковское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04744">
        <w:rPr>
          <w:rFonts w:ascii="Times New Roman" w:hAnsi="Times New Roman" w:cs="Times New Roman"/>
          <w:sz w:val="24"/>
          <w:szCs w:val="24"/>
        </w:rPr>
        <w:tab/>
        <w:t>Д.Л. Карасев</w:t>
      </w:r>
    </w:p>
    <w:p w:rsidR="00B54095" w:rsidRDefault="00B54095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постановлению</w:t>
      </w:r>
    </w:p>
    <w:p w:rsidR="0037410A" w:rsidRPr="00B54095" w:rsidRDefault="0037410A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95" w:rsidRDefault="00B54095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Общая характеристика, основные проблемы и прогноз развития сферы реализации муниципальной программы.</w:t>
      </w:r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Пениковское сельское поселение — муниципальное образование в Ломоносовском муниципальном районе Ленинградской области. Административный центр — деревня Пеники.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областных законов от 24.12.2004 № 117-оз и от 31.03.2005 № 21-оз «О наименованиях органов местного самоуправления в Ленинградской области» </w:t>
      </w:r>
      <w:proofErr w:type="spell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Броннинская</w:t>
      </w:r>
      <w:proofErr w:type="spell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волость муниципального образования «Ломоносовский муниципальный район» Ленинградской области преобразована в муниципальное образование Пениковское сельское поселение муниципального образования Ломоносовский муниципальный район Ленинградской области.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151631" wp14:editId="38010AC7">
            <wp:simplePos x="0" y="0"/>
            <wp:positionH relativeFrom="column">
              <wp:posOffset>-9525</wp:posOffset>
            </wp:positionH>
            <wp:positionV relativeFrom="paragraph">
              <wp:posOffset>3810</wp:posOffset>
            </wp:positionV>
            <wp:extent cx="2861310" cy="21488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муниципального образования Пениковское сельское поселение муниципального образования Ломоносовский муниципальный район Ленинградской области определена областным законом от 24.12.2004 № 117-оз «Об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составе».</w:t>
      </w:r>
    </w:p>
    <w:p w:rsidR="0037410A" w:rsidRPr="0037410A" w:rsidRDefault="0037410A" w:rsidP="003741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расположено по соседству с г. Санкт-Петербург (г. Ломоносов), муниципальными образованиями </w:t>
      </w:r>
      <w:proofErr w:type="spell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Низинское</w:t>
      </w:r>
      <w:proofErr w:type="spell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СП, </w:t>
      </w:r>
      <w:proofErr w:type="spell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Оржицкое</w:t>
      </w:r>
      <w:proofErr w:type="spell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СП, </w:t>
      </w:r>
      <w:proofErr w:type="spell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Гостилицкое</w:t>
      </w:r>
      <w:proofErr w:type="spell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СП, </w:t>
      </w:r>
      <w:proofErr w:type="spell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</w:t>
      </w:r>
      <w:proofErr w:type="spell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СП, </w:t>
      </w:r>
      <w:proofErr w:type="spell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Лебяженское</w:t>
      </w:r>
      <w:proofErr w:type="spell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ГП, </w:t>
      </w:r>
      <w:proofErr w:type="spell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proofErr w:type="spell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 и по Финскому заливу.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земель муниципального образования Пениковское сельское поселение — 27302,27 га, из них земли сельскохозяйственного назначения - 1872,4 га, земли населенных пунктов – </w:t>
      </w:r>
      <w:r w:rsidRPr="003741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845,2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</w:t>
      </w:r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поселения входят следующие населённые пункты (17 деревень и 2 посёлка):</w:t>
      </w:r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деревня </w:t>
      </w:r>
      <w:proofErr w:type="gram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Коновалово</w:t>
      </w:r>
      <w:proofErr w:type="spellEnd"/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деревня Верхние Венки</w:t>
      </w:r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деревня Верхняя Бронна </w:t>
      </w:r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деревня Дубки</w:t>
      </w:r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деревня </w:t>
      </w:r>
      <w:proofErr w:type="gram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Кабацкое</w:t>
      </w:r>
      <w:proofErr w:type="gramEnd"/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деревня Кузнецы</w:t>
      </w:r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деревня </w:t>
      </w:r>
      <w:proofErr w:type="spell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Куккузи</w:t>
      </w:r>
      <w:proofErr w:type="spell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деревня </w:t>
      </w:r>
      <w:proofErr w:type="gram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Кукушкино</w:t>
      </w:r>
      <w:proofErr w:type="gram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деревня </w:t>
      </w:r>
      <w:proofErr w:type="spell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Лангерево</w:t>
      </w:r>
      <w:proofErr w:type="spellEnd"/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деревня </w:t>
      </w:r>
      <w:proofErr w:type="spell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Лимузи</w:t>
      </w:r>
      <w:proofErr w:type="spellEnd"/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деревня Малая Ижора</w:t>
      </w:r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деревня Малое </w:t>
      </w:r>
      <w:proofErr w:type="spell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Коновалово</w:t>
      </w:r>
      <w:proofErr w:type="spellEnd"/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деревня Нижняя Бронна</w:t>
      </w:r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деревня Пеники</w:t>
      </w:r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деревня </w:t>
      </w:r>
      <w:proofErr w:type="spell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Сойкино</w:t>
      </w:r>
      <w:proofErr w:type="spellEnd"/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деревня </w:t>
      </w:r>
      <w:proofErr w:type="spell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Таменгонт</w:t>
      </w:r>
      <w:proofErr w:type="spellEnd"/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деревня </w:t>
      </w:r>
      <w:proofErr w:type="spell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Ускуля</w:t>
      </w:r>
      <w:proofErr w:type="spellEnd"/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поселок Бронна</w:t>
      </w:r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поселок </w:t>
      </w:r>
      <w:proofErr w:type="gram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ж/д. ст. Дубочки</w:t>
      </w:r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 муниципального образования составляет 27302,27 га, из них земли военного ведомства 15693,17 га.</w:t>
      </w:r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 земель муниципального образования входит 845,2 га земель населенных пунктов, 1872,4 га земель сельскохозяйственного назначения, 23312,02 га земель лесного фонда.</w:t>
      </w:r>
    </w:p>
    <w:p w:rsidR="0037410A" w:rsidRPr="0037410A" w:rsidRDefault="0037410A" w:rsidP="003741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«комфортной городской среды территории» включает в себя работы </w:t>
      </w:r>
      <w:proofErr w:type="gram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ремонту </w:t>
      </w:r>
      <w:proofErr w:type="spell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обеспечению освещения дворовых территорий;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установке скамеек, урн;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озеленению территорий;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установке ограждений;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установке малых архитектурных форм (МАФ) и городской мебели;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обустройству площадок для отдыха;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обустройству автомобильных парковок;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детских и спортивных площадок;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обустройству площадок для выгула собак;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благоустройству общественных пространств (парков, набережных, пешеходных зон, площадей, скверов).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Проблем, связанных с благоустройством города немало, это  и послужило причиной разработки данной программы. 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расположено 11 многоквартирных домов, 60% процентов дворовых территорий, которые нуждаются в срочном капитальном ремонте внутриквартальных проездов. Открытых водоемов – 23 шт. Детских игровых площадок - 17 адресов, требующих регулярного содержания и 8 адресов с оборудованием устаревших образцов и требующих ремонта. Контейнерных площадок для сбора ТБО - 15 шт. 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и общественные территории нуждаются в реконструкции в связи с окончанием срока службы оборудования детских игровых  и спортивных площадок. Также, большинство дворовых и общественных территорий города Всеволожска не отвечают градостроительным, экологическим, санитарным и др. требованиям (отсутствие урн, скамеек и т.д.).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Загрязнителями специфическими загрязняющими веществами являются промышленные предприятия, расположенные на территории муниципального образования.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самых активных источников негативного воздействия на окружающую среду являются дороги регионального и местного значения, которые проходят через территорию города.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предпринимаемые меры, на территории поселения регулярно образуются «стихийные» несанкционированные свалки. Они также являются источниками загрязнения природных вод, почв  и атмосферного воздуха, снижают ценность и привлекательность природных ландшафтов территории. 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существует ряд проблем, сдерживающих развитие поселения, как места притяжения инвестиций: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Ненадлежащее состояние внутридомовых проездов; 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Изношены и перегружены или отсутствуют инженерные сети (электроснабжения, ливневой канализации и др.);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Моральный и физический износ оборудования детских игровых и спортивных площадок;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большинстве придомовых территорий отсутствуют автомобильные парковки;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благоустроены или отсутствуют парки, скверы, пешеходные зоны с отсутствием скамеек и урн. 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позволяет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Риски, оказывающие влияние на решение поставленных в муниципальной программе задач: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неэффективность организации и управления процессом реализации положений основных мероприятий муниципальной программы;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неэффективное использование бюджетных средств;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неэффективное и необоснованное перераспределение сре</w:t>
      </w:r>
      <w:proofErr w:type="gram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х</w:t>
      </w:r>
      <w:proofErr w:type="gram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исполнения муниципальной программы;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денежных средств бюджета поселения на реализацию мероприятий муниципальной программы;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или недостаточность межведомственной координации  в ходе реализации муниципальной программы.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рисками муниципальной программы будет осуществляться на основе: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и внедрения эффективной системы контроля реализации муниципальной программы, а также эффективного использования бюджетных средств;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регулярной оценки результативности и эффективности реализации основных мероприятий муниципальной программы;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предупредительных мер в виде заблаговременного проведения всех необходимых работ, подписания меморандумов  о взаимодействии сторонами для согласования планов проведения работ, введения штрафных санкций за нарушение договорных обязательств;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оперативного реагирования путем внесения изменений  в муниципальную программу, снижающих воздействие негативных факторов на выполнение целевых показателей.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понятия, используемые в Программе: 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территорий,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территорий. 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Дворовая территория многоквартирных домов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образующими проезды к территориям, прилегающим к многоквартирным домам. 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муниципальная территория — территории, которыми беспрепятственно пользуется неограниченный круг лиц на </w:t>
      </w:r>
      <w:proofErr w:type="spell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безоплатной</w:t>
      </w:r>
      <w:proofErr w:type="spell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(в том числе площади, улицы, проезды, набережные, скверы, бульвары, парки). </w:t>
      </w:r>
      <w:proofErr w:type="gramEnd"/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перечень видов работ по благоустройству дворовых и общественных территорий (далее - минимальный перечень): - ремонт проездов; - обеспечение освещения территорий; - установка скамеек; - установка урн. 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Дополнительный перечень работ по благоустройству дворовых и общественных территорий (далее - дополнительный перечень): - оборудование детских и (или) спортивных площадок, площадок для отдыха и досуга, площадок для выгула домашних животных; - оборудование автомобильных парковок; - ремонт тротуаров и пешеходных дорожек; - установка малых архитектурных форм; - озеленение территорий; - установка ограждений; - установка 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пандусов и иные виды работ, обеспечивающие доступность зданий, сооружений, дворовых и общественных территорий для инвалидов и других маломобильных групп населения. 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участие заинтересованных лиц - 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клумб). 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участие заинтересованных лиц -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 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объектов недвижимого имущества, которые подлежат благоустройству 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благоустройству, в соответствии с разделами 2.1, 2.2, 2.3, 2.4.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</w:t>
      </w:r>
      <w:proofErr w:type="gram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проводит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дворовых территорий которых </w:t>
      </w:r>
      <w:proofErr w:type="spell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софинансируются</w:t>
      </w:r>
      <w:proofErr w:type="spell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субъекта Российской Федерации;</w:t>
      </w:r>
    </w:p>
    <w:p w:rsidR="0037410A" w:rsidRPr="0037410A" w:rsidRDefault="0037410A" w:rsidP="0037410A">
      <w:pPr>
        <w:tabs>
          <w:tab w:val="left" w:pos="540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Приоритеты и цели государственной (муниципальной) политики в сфере реализации муниципальной программы 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Основной целью муниципальной программы «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 на 20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-202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годы» является повышение уровня благоустройства территории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населённых пунктов</w:t>
      </w: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образования.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Основные задачи программы: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Повышение уровня благоустройства дворовых территорий муниципального образования;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Повышение уровня благоустройства общественных территорий (парков, скверов и т.д.)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Пениковское 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сельское поселение</w:t>
      </w: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ходе реализации мероприятий муниципальной программы «планируется: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отремонтировать внутридомовые проезды на территории 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населенных пунктов</w:t>
      </w: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обеспечить освещение дворовых территорий;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осуществить мероприятия по ремонту и устройству детских игровых и спортивных площадок;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обустроить автомобильные парковки на территории 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населенных пунктов</w:t>
      </w: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создать новые объекты озеленения, и цветочное оформление; 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благоустроить общественные пространства (парки, пешеходные зоны, площади, скверы).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результате реализации Программы ожидается: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улучшить санитарное состояние территории муниципального образования;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улучшить условия, обеспечивающие комфортные условия для работы  и отдыха населения на территории муниципального образования;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повысить уровень благоустройства общественных территорий муниципального образования;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привести в нормативное состояние дворовые проезды и автомобильные парковки на территории муниципального образования;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улучшить современную пешеходную инфраструктуру на территории муниципального образования;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создание зеленых зон для отдыха граждан.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Реализация Программы осуществляется на основе: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законодательством в сфере размещения заказов на поставки товаров, выполнение работ и оказание услуг для государственных и муниципальных нужд;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условий, порядка, правил, утвержденных федеральными, областными и муниципальными нормативными правовыми актами.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Отчеты о ходе работы по реализации Программы по результатам за год готовит инициирующий отдел администрации муниципального образования.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7410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Раздел 2.1. Адресный перечень дворовых территорий, нуждающихся в благоустройстве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1985"/>
        <w:gridCol w:w="4813"/>
      </w:tblGrid>
      <w:tr w:rsidR="0037410A" w:rsidRPr="0037410A" w:rsidTr="0037410A">
        <w:tc>
          <w:tcPr>
            <w:tcW w:w="540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№ </w:t>
            </w:r>
            <w:proofErr w:type="gramStart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п</w:t>
            </w:r>
            <w:proofErr w:type="gramEnd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240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Адрес</w:t>
            </w:r>
          </w:p>
        </w:tc>
        <w:tc>
          <w:tcPr>
            <w:tcW w:w="1985" w:type="dxa"/>
          </w:tcPr>
          <w:p w:rsidR="0037410A" w:rsidRPr="0037410A" w:rsidRDefault="0037410A" w:rsidP="003741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</w:rPr>
              <w:t>Физическое состояние дворовой территории</w:t>
            </w:r>
          </w:p>
        </w:tc>
        <w:tc>
          <w:tcPr>
            <w:tcW w:w="481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</w:rPr>
              <w:t>Результата инвентаризации дворовой территории</w:t>
            </w:r>
          </w:p>
        </w:tc>
      </w:tr>
      <w:tr w:rsidR="0037410A" w:rsidRPr="0037410A" w:rsidTr="0037410A">
        <w:tc>
          <w:tcPr>
            <w:tcW w:w="540" w:type="dxa"/>
          </w:tcPr>
          <w:p w:rsidR="0037410A" w:rsidRPr="0037410A" w:rsidRDefault="0037410A" w:rsidP="0037410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  <w:tc>
          <w:tcPr>
            <w:tcW w:w="240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дер. Пеники, ул. Новая</w:t>
            </w:r>
            <w:proofErr w:type="gramStart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 ,</w:t>
            </w:r>
            <w:proofErr w:type="gramEnd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 д.8</w:t>
            </w:r>
          </w:p>
        </w:tc>
        <w:tc>
          <w:tcPr>
            <w:tcW w:w="1985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Требует благоустройство</w:t>
            </w:r>
          </w:p>
        </w:tc>
        <w:tc>
          <w:tcPr>
            <w:tcW w:w="481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Требуется проведение комиссии в соответствии с постановлением Правительства Ленинградской области от 15.12.2017 N 580 (ред. от 11.06.2019) "Об утверждении Порядка проведения инвентаризации дворовых территорий и общественных территорий в муниципальных образованиях Ленинградской области в рамках реализации приоритетного проекта "Формирование комфортной городской среды"</w:t>
            </w:r>
          </w:p>
        </w:tc>
      </w:tr>
      <w:tr w:rsidR="0037410A" w:rsidRPr="0037410A" w:rsidTr="0037410A">
        <w:tc>
          <w:tcPr>
            <w:tcW w:w="540" w:type="dxa"/>
          </w:tcPr>
          <w:p w:rsidR="0037410A" w:rsidRPr="0037410A" w:rsidRDefault="0037410A" w:rsidP="0037410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  <w:tc>
          <w:tcPr>
            <w:tcW w:w="240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дер. Пеники, ул. Новая</w:t>
            </w:r>
            <w:proofErr w:type="gramStart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 ,</w:t>
            </w:r>
            <w:proofErr w:type="gramEnd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 д.10</w:t>
            </w:r>
          </w:p>
        </w:tc>
        <w:tc>
          <w:tcPr>
            <w:tcW w:w="1985" w:type="dxa"/>
          </w:tcPr>
          <w:p w:rsidR="0037410A" w:rsidRPr="0037410A" w:rsidRDefault="0037410A" w:rsidP="0037410A">
            <w:pPr>
              <w:rPr>
                <w:rFonts w:eastAsia="Times New Roman"/>
                <w:sz w:val="24"/>
                <w:szCs w:val="24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Требует благоустройство</w:t>
            </w:r>
          </w:p>
        </w:tc>
        <w:tc>
          <w:tcPr>
            <w:tcW w:w="481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Требуется проведение комиссии в соответствии с постановлением Правительства Ленинградской области от 15.12.2017 N 580 (ред. от 11.06.2019) "Об </w:t>
            </w:r>
            <w:r w:rsidRPr="0037410A">
              <w:rPr>
                <w:rFonts w:eastAsia="Times New Roman"/>
                <w:sz w:val="24"/>
                <w:szCs w:val="24"/>
                <w:lang w:eastAsia="x-none"/>
              </w:rPr>
              <w:lastRenderedPageBreak/>
              <w:t>утверждении Порядка проведения инвентаризации дворовых территорий и общественных территорий в муниципальных образованиях Ленинградской области в рамках реализации приоритетного проекта "Формирование комфортной городской среды"</w:t>
            </w:r>
          </w:p>
        </w:tc>
      </w:tr>
      <w:tr w:rsidR="0037410A" w:rsidRPr="0037410A" w:rsidTr="0037410A">
        <w:tc>
          <w:tcPr>
            <w:tcW w:w="540" w:type="dxa"/>
          </w:tcPr>
          <w:p w:rsidR="0037410A" w:rsidRPr="0037410A" w:rsidRDefault="0037410A" w:rsidP="0037410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  <w:tc>
          <w:tcPr>
            <w:tcW w:w="240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дер. Пеники, ул. Новая</w:t>
            </w:r>
            <w:proofErr w:type="gramStart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 ,</w:t>
            </w:r>
            <w:proofErr w:type="gramEnd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 д.13</w:t>
            </w:r>
          </w:p>
        </w:tc>
        <w:tc>
          <w:tcPr>
            <w:tcW w:w="1985" w:type="dxa"/>
          </w:tcPr>
          <w:p w:rsidR="0037410A" w:rsidRPr="0037410A" w:rsidRDefault="0037410A" w:rsidP="0037410A">
            <w:pPr>
              <w:rPr>
                <w:rFonts w:eastAsia="Times New Roman"/>
                <w:sz w:val="24"/>
                <w:szCs w:val="24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Не требует благоустройство</w:t>
            </w:r>
          </w:p>
        </w:tc>
        <w:tc>
          <w:tcPr>
            <w:tcW w:w="481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Не проводилась</w:t>
            </w:r>
          </w:p>
        </w:tc>
      </w:tr>
      <w:tr w:rsidR="0037410A" w:rsidRPr="0037410A" w:rsidTr="0037410A">
        <w:tc>
          <w:tcPr>
            <w:tcW w:w="540" w:type="dxa"/>
          </w:tcPr>
          <w:p w:rsidR="0037410A" w:rsidRPr="0037410A" w:rsidRDefault="0037410A" w:rsidP="0037410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  <w:tc>
          <w:tcPr>
            <w:tcW w:w="240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дер. Пеники, ул. Новая</w:t>
            </w:r>
            <w:proofErr w:type="gramStart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 ,</w:t>
            </w:r>
            <w:proofErr w:type="gramEnd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 д.14</w:t>
            </w:r>
          </w:p>
        </w:tc>
        <w:tc>
          <w:tcPr>
            <w:tcW w:w="1985" w:type="dxa"/>
          </w:tcPr>
          <w:p w:rsidR="0037410A" w:rsidRPr="0037410A" w:rsidRDefault="0037410A" w:rsidP="0037410A">
            <w:pPr>
              <w:rPr>
                <w:rFonts w:eastAsia="Times New Roman"/>
                <w:sz w:val="24"/>
                <w:szCs w:val="24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Не требует благоустройство</w:t>
            </w:r>
          </w:p>
        </w:tc>
        <w:tc>
          <w:tcPr>
            <w:tcW w:w="481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Не проводилась</w:t>
            </w:r>
          </w:p>
        </w:tc>
      </w:tr>
      <w:tr w:rsidR="0037410A" w:rsidRPr="0037410A" w:rsidTr="0037410A">
        <w:tc>
          <w:tcPr>
            <w:tcW w:w="540" w:type="dxa"/>
          </w:tcPr>
          <w:p w:rsidR="0037410A" w:rsidRPr="0037410A" w:rsidRDefault="0037410A" w:rsidP="0037410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  <w:tc>
          <w:tcPr>
            <w:tcW w:w="240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дер. Пеники, ул. Новая</w:t>
            </w:r>
            <w:proofErr w:type="gramStart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 ,</w:t>
            </w:r>
            <w:proofErr w:type="gramEnd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 д.15</w:t>
            </w:r>
          </w:p>
        </w:tc>
        <w:tc>
          <w:tcPr>
            <w:tcW w:w="1985" w:type="dxa"/>
          </w:tcPr>
          <w:p w:rsidR="0037410A" w:rsidRPr="0037410A" w:rsidRDefault="0037410A" w:rsidP="0037410A">
            <w:pPr>
              <w:rPr>
                <w:rFonts w:eastAsia="Times New Roman"/>
                <w:sz w:val="24"/>
                <w:szCs w:val="24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Не требует благоустройство</w:t>
            </w:r>
          </w:p>
        </w:tc>
        <w:tc>
          <w:tcPr>
            <w:tcW w:w="481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Не проводилась</w:t>
            </w:r>
          </w:p>
        </w:tc>
      </w:tr>
      <w:tr w:rsidR="0037410A" w:rsidRPr="0037410A" w:rsidTr="0037410A">
        <w:tc>
          <w:tcPr>
            <w:tcW w:w="540" w:type="dxa"/>
          </w:tcPr>
          <w:p w:rsidR="0037410A" w:rsidRPr="0037410A" w:rsidRDefault="0037410A" w:rsidP="0037410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  <w:tc>
          <w:tcPr>
            <w:tcW w:w="240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дер. Пеники, ул. Новая</w:t>
            </w:r>
            <w:proofErr w:type="gramStart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 ,</w:t>
            </w:r>
            <w:proofErr w:type="gramEnd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 д.16</w:t>
            </w:r>
          </w:p>
        </w:tc>
        <w:tc>
          <w:tcPr>
            <w:tcW w:w="1985" w:type="dxa"/>
          </w:tcPr>
          <w:p w:rsidR="0037410A" w:rsidRPr="0037410A" w:rsidRDefault="0037410A" w:rsidP="0037410A">
            <w:pPr>
              <w:rPr>
                <w:rFonts w:eastAsia="Times New Roman"/>
                <w:sz w:val="24"/>
                <w:szCs w:val="24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Не требует благоустройство</w:t>
            </w:r>
          </w:p>
        </w:tc>
        <w:tc>
          <w:tcPr>
            <w:tcW w:w="481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Не проводилась</w:t>
            </w:r>
          </w:p>
        </w:tc>
      </w:tr>
      <w:tr w:rsidR="0037410A" w:rsidRPr="0037410A" w:rsidTr="0037410A">
        <w:tc>
          <w:tcPr>
            <w:tcW w:w="540" w:type="dxa"/>
          </w:tcPr>
          <w:p w:rsidR="0037410A" w:rsidRPr="0037410A" w:rsidRDefault="0037410A" w:rsidP="0037410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  <w:tc>
          <w:tcPr>
            <w:tcW w:w="240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дер. Пеники, ул. Центральная</w:t>
            </w:r>
            <w:proofErr w:type="gramStart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 ,</w:t>
            </w:r>
            <w:proofErr w:type="gramEnd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 д.36А</w:t>
            </w:r>
          </w:p>
        </w:tc>
        <w:tc>
          <w:tcPr>
            <w:tcW w:w="1985" w:type="dxa"/>
          </w:tcPr>
          <w:p w:rsidR="0037410A" w:rsidRPr="0037410A" w:rsidRDefault="0037410A" w:rsidP="0037410A">
            <w:pPr>
              <w:rPr>
                <w:rFonts w:eastAsia="Times New Roman"/>
                <w:sz w:val="24"/>
                <w:szCs w:val="24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Требует благоустройство</w:t>
            </w:r>
          </w:p>
        </w:tc>
        <w:tc>
          <w:tcPr>
            <w:tcW w:w="481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Требуется проведение комиссии в соответствии с постановлением Правительства Ленинградской области от 15.12.2017 N 580 (ред. от 11.06.2019) "Об утверждении Порядка проведения инвентаризации дворовых территорий и общественных территорий в муниципальных образованиях Ленинградской области в рамках реализации приоритетного проекта "Формирование комфортной городской среды"</w:t>
            </w:r>
          </w:p>
        </w:tc>
      </w:tr>
      <w:tr w:rsidR="0037410A" w:rsidRPr="0037410A" w:rsidTr="0037410A">
        <w:tc>
          <w:tcPr>
            <w:tcW w:w="540" w:type="dxa"/>
          </w:tcPr>
          <w:p w:rsidR="0037410A" w:rsidRPr="0037410A" w:rsidRDefault="0037410A" w:rsidP="0037410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  <w:tc>
          <w:tcPr>
            <w:tcW w:w="240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дер. Малая Ижора, ул. Центральная д.18а</w:t>
            </w:r>
          </w:p>
        </w:tc>
        <w:tc>
          <w:tcPr>
            <w:tcW w:w="1985" w:type="dxa"/>
          </w:tcPr>
          <w:p w:rsidR="0037410A" w:rsidRPr="0037410A" w:rsidRDefault="0037410A" w:rsidP="0037410A">
            <w:pPr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Требует благоустройство</w:t>
            </w:r>
          </w:p>
        </w:tc>
        <w:tc>
          <w:tcPr>
            <w:tcW w:w="481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Требуется проведение комиссии в соответствии с постановлением Правительства Ленинградской области от 15.12.2017 N 580 (ред. от 11.06.2019) "Об утверждении Порядка проведения инвентаризации дворовых территорий и общественных территорий в муниципальных образованиях Ленинградской области в рамках реализации приоритетного проекта "Формирование комфортной городской среды"</w:t>
            </w:r>
          </w:p>
        </w:tc>
      </w:tr>
      <w:tr w:rsidR="0037410A" w:rsidRPr="0037410A" w:rsidTr="0037410A">
        <w:tc>
          <w:tcPr>
            <w:tcW w:w="540" w:type="dxa"/>
          </w:tcPr>
          <w:p w:rsidR="0037410A" w:rsidRPr="0037410A" w:rsidRDefault="0037410A" w:rsidP="0037410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  <w:tc>
          <w:tcPr>
            <w:tcW w:w="240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дер. Малая Ижора, ул. Центральная д.1</w:t>
            </w:r>
          </w:p>
        </w:tc>
        <w:tc>
          <w:tcPr>
            <w:tcW w:w="1985" w:type="dxa"/>
          </w:tcPr>
          <w:p w:rsidR="0037410A" w:rsidRPr="0037410A" w:rsidRDefault="0037410A" w:rsidP="0037410A">
            <w:pPr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Требует благоустройство</w:t>
            </w:r>
          </w:p>
        </w:tc>
        <w:tc>
          <w:tcPr>
            <w:tcW w:w="481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Требуется проведение комиссии в соответствии с постановлением Правительства Ленинградской области от 15.12.2017 N 580 (ред. от 11.06.2019) "Об утверждении Порядка проведения инвентаризации дворовых территорий и общественных территорий в муниципальных образованиях Ленинградской области в рамках реализации приоритетного проекта "Формирование комфортной городской среды"</w:t>
            </w:r>
          </w:p>
        </w:tc>
      </w:tr>
      <w:tr w:rsidR="0037410A" w:rsidRPr="0037410A" w:rsidTr="0037410A">
        <w:tc>
          <w:tcPr>
            <w:tcW w:w="540" w:type="dxa"/>
          </w:tcPr>
          <w:p w:rsidR="0037410A" w:rsidRPr="0037410A" w:rsidRDefault="0037410A" w:rsidP="0037410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  <w:tc>
          <w:tcPr>
            <w:tcW w:w="240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дер. </w:t>
            </w:r>
            <w:proofErr w:type="spellStart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Сойкино</w:t>
            </w:r>
            <w:proofErr w:type="spellEnd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, ул. Центральная, д.40</w:t>
            </w:r>
          </w:p>
        </w:tc>
        <w:tc>
          <w:tcPr>
            <w:tcW w:w="1985" w:type="dxa"/>
          </w:tcPr>
          <w:p w:rsidR="0037410A" w:rsidRPr="0037410A" w:rsidRDefault="0037410A" w:rsidP="0037410A">
            <w:pPr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Требует благоустройство</w:t>
            </w:r>
          </w:p>
        </w:tc>
        <w:tc>
          <w:tcPr>
            <w:tcW w:w="481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Требуется проведение комиссии в соответствии с постановлением Правительства Ленинградской области от 15.12.2017 N 580 (ред. от 11.06.2019) "Об утверждении Порядка проведения инвентаризации дворовых территорий и общественных территорий в муниципальных образованиях Ленинградской области в рамках реализации приоритетного проекта "Формирование комфортной городской среды"</w:t>
            </w:r>
          </w:p>
        </w:tc>
      </w:tr>
      <w:tr w:rsidR="0037410A" w:rsidRPr="0037410A" w:rsidTr="0037410A">
        <w:tc>
          <w:tcPr>
            <w:tcW w:w="540" w:type="dxa"/>
          </w:tcPr>
          <w:p w:rsidR="0037410A" w:rsidRPr="0037410A" w:rsidRDefault="0037410A" w:rsidP="0037410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  <w:tc>
          <w:tcPr>
            <w:tcW w:w="240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дер. </w:t>
            </w:r>
            <w:proofErr w:type="spellStart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Сойкино</w:t>
            </w:r>
            <w:proofErr w:type="spellEnd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, ул. Центральная, д.42</w:t>
            </w:r>
          </w:p>
        </w:tc>
        <w:tc>
          <w:tcPr>
            <w:tcW w:w="1985" w:type="dxa"/>
          </w:tcPr>
          <w:p w:rsidR="0037410A" w:rsidRPr="0037410A" w:rsidRDefault="0037410A" w:rsidP="0037410A">
            <w:pPr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Требует благоустройство</w:t>
            </w:r>
          </w:p>
        </w:tc>
        <w:tc>
          <w:tcPr>
            <w:tcW w:w="481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Требуется проведение комиссии в соответствии с постановлением Правительства Ленинградской области от 15.12.2017 N 580 (ред. от 11.06.2019) "Об утверждении Порядка проведения инвентаризации дворовых территорий и общественных территорий в муниципальных образованиях Ленинградской области в рамках реализации приоритетного проекта "Формирование комфортной городской среды"</w:t>
            </w:r>
          </w:p>
        </w:tc>
      </w:tr>
    </w:tbl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7410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Раздел 2.2. Адресный перечень общественных территорий, нуждающихся в благоустройстве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1985"/>
        <w:gridCol w:w="4813"/>
      </w:tblGrid>
      <w:tr w:rsidR="0037410A" w:rsidRPr="0037410A" w:rsidTr="0037410A">
        <w:tc>
          <w:tcPr>
            <w:tcW w:w="540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№ </w:t>
            </w:r>
            <w:proofErr w:type="gramStart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п</w:t>
            </w:r>
            <w:proofErr w:type="gramEnd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240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Адрес</w:t>
            </w:r>
          </w:p>
        </w:tc>
        <w:tc>
          <w:tcPr>
            <w:tcW w:w="1985" w:type="dxa"/>
          </w:tcPr>
          <w:p w:rsidR="0037410A" w:rsidRPr="0037410A" w:rsidRDefault="0037410A" w:rsidP="003741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</w:rPr>
              <w:t>Физическое состояние дворовой территории</w:t>
            </w:r>
          </w:p>
        </w:tc>
        <w:tc>
          <w:tcPr>
            <w:tcW w:w="481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</w:rPr>
              <w:t>Результата инвентаризации дворовой территории</w:t>
            </w:r>
          </w:p>
        </w:tc>
      </w:tr>
      <w:tr w:rsidR="0037410A" w:rsidRPr="0037410A" w:rsidTr="0037410A">
        <w:tc>
          <w:tcPr>
            <w:tcW w:w="540" w:type="dxa"/>
          </w:tcPr>
          <w:p w:rsidR="0037410A" w:rsidRPr="0037410A" w:rsidRDefault="0037410A" w:rsidP="003741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  <w:tc>
          <w:tcPr>
            <w:tcW w:w="2403" w:type="dxa"/>
          </w:tcPr>
          <w:p w:rsidR="0037410A" w:rsidRPr="0037410A" w:rsidRDefault="0037410A" w:rsidP="003741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410A">
              <w:rPr>
                <w:rFonts w:eastAsia="Times New Roman"/>
                <w:sz w:val="24"/>
                <w:szCs w:val="24"/>
              </w:rPr>
              <w:t>Общественная территория напротив ТК «Берег»</w:t>
            </w:r>
          </w:p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</w:rPr>
              <w:t>дер. Пеники, ул. Центральная, уч.20</w:t>
            </w:r>
          </w:p>
        </w:tc>
        <w:tc>
          <w:tcPr>
            <w:tcW w:w="1985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Требует благоустройство</w:t>
            </w:r>
          </w:p>
        </w:tc>
        <w:tc>
          <w:tcPr>
            <w:tcW w:w="481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Требуется проведение комиссии в соответствии с постановлением Правительства Ленинградской области от 15.12.2017 N 580 (ред. от 11.06.2019) "Об утверждении Порядка проведения инвентаризации дворовых территорий и общественных территорий в муниципальных образованиях Ленинградской области в рамках реализации приоритетного проекта "Формирование комфортной городской среды"</w:t>
            </w:r>
          </w:p>
        </w:tc>
      </w:tr>
      <w:tr w:rsidR="0037410A" w:rsidRPr="0037410A" w:rsidTr="0037410A">
        <w:tc>
          <w:tcPr>
            <w:tcW w:w="540" w:type="dxa"/>
          </w:tcPr>
          <w:p w:rsidR="0037410A" w:rsidRPr="0037410A" w:rsidRDefault="0037410A" w:rsidP="003741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  <w:tc>
          <w:tcPr>
            <w:tcW w:w="2403" w:type="dxa"/>
          </w:tcPr>
          <w:p w:rsidR="0037410A" w:rsidRPr="0037410A" w:rsidRDefault="0037410A" w:rsidP="003741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410A">
              <w:rPr>
                <w:rFonts w:eastAsia="Times New Roman"/>
                <w:sz w:val="24"/>
                <w:szCs w:val="24"/>
              </w:rPr>
              <w:t>Общественная территория «Парк Пихты»</w:t>
            </w:r>
          </w:p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</w:rPr>
              <w:t>дер. Пеники, ул. Центральная, 1Г</w:t>
            </w:r>
          </w:p>
        </w:tc>
        <w:tc>
          <w:tcPr>
            <w:tcW w:w="1985" w:type="dxa"/>
          </w:tcPr>
          <w:p w:rsidR="0037410A" w:rsidRPr="0037410A" w:rsidRDefault="0037410A" w:rsidP="0037410A">
            <w:pPr>
              <w:rPr>
                <w:rFonts w:eastAsia="Times New Roman"/>
                <w:sz w:val="24"/>
                <w:szCs w:val="24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Требует благоустройство</w:t>
            </w:r>
          </w:p>
        </w:tc>
        <w:tc>
          <w:tcPr>
            <w:tcW w:w="481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Требуется проведение комиссии в соответствии с постановлением Правительства Ленинградской области от 15.12.2017 N 580 (ред. от 11.06.2019) "Об утверждении Порядка проведения инвентаризации дворовых территорий и общественных территорий в муниципальных образованиях Ленинградской области в рамках </w:t>
            </w:r>
            <w:r w:rsidRPr="0037410A">
              <w:rPr>
                <w:rFonts w:eastAsia="Times New Roman"/>
                <w:sz w:val="24"/>
                <w:szCs w:val="24"/>
                <w:lang w:eastAsia="x-none"/>
              </w:rPr>
              <w:lastRenderedPageBreak/>
              <w:t>реализации приоритетного проекта "Формирование комфортной городской среды"</w:t>
            </w:r>
          </w:p>
        </w:tc>
      </w:tr>
    </w:tbl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7410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Раздел 2.3. Адресный перечень объектов недвижимого имущества 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7410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 земельных участков, находящихся в собственности (пользовании) юридических лиц и индивидуальных предпринимателей</w:t>
      </w: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1985"/>
        <w:gridCol w:w="4813"/>
      </w:tblGrid>
      <w:tr w:rsidR="0037410A" w:rsidRPr="0037410A" w:rsidTr="0037410A">
        <w:tc>
          <w:tcPr>
            <w:tcW w:w="540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№ </w:t>
            </w:r>
            <w:proofErr w:type="gramStart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п</w:t>
            </w:r>
            <w:proofErr w:type="gramEnd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240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Адрес</w:t>
            </w:r>
          </w:p>
        </w:tc>
        <w:tc>
          <w:tcPr>
            <w:tcW w:w="1985" w:type="dxa"/>
          </w:tcPr>
          <w:p w:rsidR="0037410A" w:rsidRPr="0037410A" w:rsidRDefault="0037410A" w:rsidP="003741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</w:rPr>
              <w:t>Физическое состояние дворовой территории</w:t>
            </w:r>
          </w:p>
        </w:tc>
        <w:tc>
          <w:tcPr>
            <w:tcW w:w="481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</w:rPr>
              <w:t>Результата инвентаризации дворовой территории</w:t>
            </w:r>
          </w:p>
        </w:tc>
      </w:tr>
      <w:tr w:rsidR="0037410A" w:rsidRPr="0037410A" w:rsidTr="0037410A">
        <w:tc>
          <w:tcPr>
            <w:tcW w:w="540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40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Отсутствуют</w:t>
            </w:r>
          </w:p>
        </w:tc>
        <w:tc>
          <w:tcPr>
            <w:tcW w:w="1985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  <w:tc>
          <w:tcPr>
            <w:tcW w:w="481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</w:tr>
    </w:tbl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7410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Раздел 2.4. Мероприятия по инвентаризации уровня благоустройства индивидуальных жилых домов и земельных участков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1985"/>
        <w:gridCol w:w="4813"/>
      </w:tblGrid>
      <w:tr w:rsidR="0037410A" w:rsidRPr="0037410A" w:rsidTr="0037410A">
        <w:tc>
          <w:tcPr>
            <w:tcW w:w="540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 xml:space="preserve">№ </w:t>
            </w:r>
            <w:proofErr w:type="gramStart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п</w:t>
            </w:r>
            <w:proofErr w:type="gramEnd"/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240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Адрес</w:t>
            </w:r>
          </w:p>
        </w:tc>
        <w:tc>
          <w:tcPr>
            <w:tcW w:w="1985" w:type="dxa"/>
          </w:tcPr>
          <w:p w:rsidR="0037410A" w:rsidRPr="0037410A" w:rsidRDefault="0037410A" w:rsidP="003741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</w:rPr>
              <w:t>Физическое состояние дворовой территории</w:t>
            </w:r>
          </w:p>
        </w:tc>
        <w:tc>
          <w:tcPr>
            <w:tcW w:w="481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</w:rPr>
              <w:t>Результата инвентаризации дворовой территории</w:t>
            </w:r>
          </w:p>
        </w:tc>
      </w:tr>
      <w:tr w:rsidR="0037410A" w:rsidRPr="0037410A" w:rsidTr="0037410A">
        <w:tc>
          <w:tcPr>
            <w:tcW w:w="540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40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  <w:r w:rsidRPr="0037410A">
              <w:rPr>
                <w:rFonts w:eastAsia="Times New Roman"/>
                <w:sz w:val="24"/>
                <w:szCs w:val="24"/>
                <w:lang w:eastAsia="x-none"/>
              </w:rPr>
              <w:t>Отсутствуют</w:t>
            </w:r>
          </w:p>
        </w:tc>
        <w:tc>
          <w:tcPr>
            <w:tcW w:w="1985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  <w:tc>
          <w:tcPr>
            <w:tcW w:w="4813" w:type="dxa"/>
          </w:tcPr>
          <w:p w:rsidR="0037410A" w:rsidRPr="0037410A" w:rsidRDefault="0037410A" w:rsidP="00374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x-none"/>
              </w:rPr>
            </w:pPr>
          </w:p>
        </w:tc>
      </w:tr>
    </w:tbl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0A" w:rsidRPr="0037410A" w:rsidRDefault="0037410A" w:rsidP="0037410A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Структурные элементы муниципальной программы</w:t>
      </w:r>
    </w:p>
    <w:p w:rsidR="0037410A" w:rsidRPr="0037410A" w:rsidRDefault="0037410A" w:rsidP="0037410A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37410A" w:rsidRPr="0037410A" w:rsidRDefault="0037410A" w:rsidP="00374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Решение задачи</w:t>
      </w:r>
      <w:r w:rsidRPr="0037410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муниципальной программы </w:t>
      </w:r>
      <w:r w:rsidRPr="0037410A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«Формирование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области»</w:t>
      </w:r>
      <w:r w:rsidRPr="0037410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достигается в рамках осуществления проектных мероприятий: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1) Федеральные проекты, входящие в состав национальных проектов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1.1) Федеральный проект "Формирование комфортной городской среды"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1.1.1) Мероприятия по реализации программ формирования современной городской среды.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Форма и минимальная доля финансового и (или) трудового участия в выполнении дополнительного перечня работ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минимальная доля финансового и (или) трудового участия в выполнении дополнительного перечня работ по благоустройству дворовых и общественных территорий заинтересованных лиц с учетом предложений заинтересованных лиц, предусматривающих их финансовое и (или) трудовое участие в выполнении соответствующих работ: 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включенные в дополнительный перечень видов работ по благоустройству дворовых территорий многоквартирных домов, могут осуществляться с привлечением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трудовое участие). </w:t>
      </w:r>
      <w:proofErr w:type="gramEnd"/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участие заинтересованных в благоустройстве дворовой территории лиц может осуществляться в виде: 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выполнения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</w:t>
      </w:r>
      <w:proofErr w:type="gramEnd"/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предоставления строительных материалов, техники и т.д.; 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обеспечения благоприятных условий для работы подрядной организации, выполняющей работы, и для ее работников.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 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стоимость работ (единичные расценки) по благоустройству дворовых территорий многоквартирных домов, входящих в состав минимального перечня таких работ, принимается согласно территориальным сметным нормативам, территориальным единичным расценкам (ТЕР), принятым для применения на территории поселения. Финансовое участие (</w:t>
      </w:r>
      <w:proofErr w:type="spell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заинтересованных лиц (при принятии собственниками такого решения) осуществляется в выполнении видов работ из дополнительного перечня работ в рамках муниципальной программы в размере не менее 5 процентов от общей стоимости вида работ включенного в дополнительный перечень работ (единичные расценки). 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форма трудового, финансового участия заинтересованных лиц в выполнении работ установлены в Порядке и условиях аккумулирования и расходования </w:t>
      </w:r>
      <w:proofErr w:type="gram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заинтересованных лиц, направляемых на выполнение минимального и дополнительного перечня работ по благоустройству дворовых и общественных территорий муниципального образования приведен</w:t>
      </w:r>
      <w:proofErr w:type="gram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4.1.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4.1. Порядок и условия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и общественных территорий муниципального образования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включения заинтересованными лицами в заявку о включении дворовых и общественных территорий в Программу работ, входящих в минимальный и дополнительный перечень работ по благоустройству дворовых и общественных территорий, денежные средства заинтересованных лиц перечисляются на лицевой счет местной администрации.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gram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комиссией дизайн-проекта и его согласования с представителем заинтересованных лиц, местная администрация заключает с представителями заинтересованных лиц, принявшими решение о благоустройстве дворовых и общественных территорий, соглашение, в котором указывается объект благоустройства, реквизиты для перечисления денежных средств,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случаях, определенных</w:t>
      </w:r>
      <w:proofErr w:type="gram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соглашением. Объем денежных средств, подлежащих перечислению заинтересованными лицами (при принятии собственниками такого решения), определяется в соответствии с дополнительным перечнем работ (единичные расценки) в рамках муниципальной программы в размере не менее 5 процентов от общей стоимости вида работ из дополнительного перечня работ.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 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Перечисление денежных средств заинтересованными лицами осуществляется в течение десяти дней с момента подписания соглашения. В случае</w:t>
      </w:r>
      <w:proofErr w:type="gram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минимального и дополнительного перечня работ по благоустройству территории выполнению не подлежит. 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корректировкой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 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4.Трудовое участие граждан может быть внесено в виде следующих мероприятий, не требующих специальной квалификации, таких как: - проведение санитарной очистки территории (уборки) перед проведением работ по благоустройству; - подготовка дворовой территории к началу работ (земляные работы); - участие в строительных работах – демонтаж старого оборудования, установка уличного оборудования, зачистка от ржавчины, окрашивание элементов благоустройства;</w:t>
      </w:r>
      <w:proofErr w:type="gram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участие в озеленении территории – высадка растений, создание клумб, уборка территории. 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качестве подтверждения трудового участия заинтересованных лиц предоставляют в местную администрацию соответствующий отчет о проведении мероприятий с трудовым участием граждан, приложением к такому отчету </w:t>
      </w:r>
      <w:proofErr w:type="gram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 материалов</w:t>
      </w:r>
      <w:proofErr w:type="gram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 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Денежные средства считаются поступившими в доход бюджета муниципального образования с момента их зачисления на лицевой счет.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Местная администрация осуществляет учет поступающих от заинтересованных лиц денежных сре</w:t>
      </w:r>
      <w:proofErr w:type="gram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азрезе многоквартирных домов, дворовые территории которых подлежат благоустройству. 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Местная администрация публикует на официальном сайте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расходованием аккумулированных денежных средств заинтересованных лиц осуществляется в соответствии с Бюджетным Кодексом Российской Федерации.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Приложения к муниципальной программе</w:t>
      </w:r>
    </w:p>
    <w:p w:rsidR="0037410A" w:rsidRPr="0037410A" w:rsidRDefault="0037410A" w:rsidP="0037410A">
      <w:pPr>
        <w:widowControl w:val="0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7410A" w:rsidRPr="0037410A" w:rsidRDefault="0037410A" w:rsidP="003741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показателях (индикаторах) муниципальной программы и их значения представлены в </w:t>
      </w:r>
      <w:r w:rsidRPr="003741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 1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программе.</w:t>
      </w:r>
      <w:r w:rsidRPr="003741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37410A" w:rsidRPr="0037410A" w:rsidRDefault="0037410A" w:rsidP="0037410A">
      <w:pPr>
        <w:widowControl w:val="0"/>
        <w:autoSpaceDE w:val="0"/>
        <w:autoSpaceDN w:val="0"/>
        <w:spacing w:line="240" w:lineRule="auto"/>
        <w:ind w:firstLine="67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порядке сбора информации и методике расчета показателей (индикаторов) муниципальной программы </w:t>
      </w:r>
      <w:r w:rsidRPr="0037410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представлены в </w:t>
      </w:r>
      <w:r w:rsidRPr="0037410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u w:val="single"/>
          <w:lang w:eastAsia="ru-RU"/>
        </w:rPr>
        <w:t>приложении 2</w:t>
      </w:r>
      <w:r w:rsidRPr="0037410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к 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программе.</w:t>
      </w:r>
    </w:p>
    <w:p w:rsidR="0037410A" w:rsidRPr="0037410A" w:rsidRDefault="0037410A" w:rsidP="0037410A">
      <w:pPr>
        <w:spacing w:line="240" w:lineRule="auto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реализации муниципальной программы представлен в </w:t>
      </w:r>
      <w:r w:rsidRPr="003741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 3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программе.</w:t>
      </w:r>
    </w:p>
    <w:p w:rsidR="0037410A" w:rsidRPr="0037410A" w:rsidRDefault="0037410A" w:rsidP="0037410A">
      <w:pPr>
        <w:spacing w:line="240" w:lineRule="auto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детальный план реализации муниципальной программы представлен в </w:t>
      </w:r>
      <w:r w:rsidRPr="003741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 4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программе.</w:t>
      </w:r>
    </w:p>
    <w:p w:rsidR="0037410A" w:rsidRPr="0037410A" w:rsidRDefault="0037410A" w:rsidP="0037410A">
      <w:pPr>
        <w:spacing w:line="240" w:lineRule="auto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отчета представлена в </w:t>
      </w:r>
      <w:r w:rsidRPr="003741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 5</w:t>
      </w:r>
      <w:r w:rsidRPr="0037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программе.</w:t>
      </w:r>
    </w:p>
    <w:p w:rsidR="0037410A" w:rsidRPr="00B54095" w:rsidRDefault="0037410A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1E" w:rsidRPr="008F5A4A" w:rsidRDefault="005B671E" w:rsidP="00B540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671E" w:rsidRPr="008F5A4A" w:rsidSect="0037410A">
      <w:headerReference w:type="even" r:id="rId11"/>
      <w:headerReference w:type="defaul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0A" w:rsidRDefault="0037410A">
      <w:pPr>
        <w:spacing w:line="240" w:lineRule="auto"/>
      </w:pPr>
      <w:r>
        <w:separator/>
      </w:r>
    </w:p>
  </w:endnote>
  <w:endnote w:type="continuationSeparator" w:id="0">
    <w:p w:rsidR="0037410A" w:rsidRDefault="00374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0A" w:rsidRDefault="0037410A">
      <w:pPr>
        <w:spacing w:line="240" w:lineRule="auto"/>
      </w:pPr>
      <w:r>
        <w:separator/>
      </w:r>
    </w:p>
  </w:footnote>
  <w:footnote w:type="continuationSeparator" w:id="0">
    <w:p w:rsidR="0037410A" w:rsidRDefault="00374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0A" w:rsidRDefault="0037410A" w:rsidP="00C0474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7410A" w:rsidRDefault="003741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0A" w:rsidRDefault="0037410A" w:rsidP="00C0474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11</w:t>
    </w:r>
    <w:r>
      <w:rPr>
        <w:rStyle w:val="a3"/>
      </w:rPr>
      <w:fldChar w:fldCharType="end"/>
    </w:r>
  </w:p>
  <w:p w:rsidR="0037410A" w:rsidRDefault="003741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0D40DB"/>
    <w:multiLevelType w:val="hybridMultilevel"/>
    <w:tmpl w:val="9DDC7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06BF1"/>
    <w:multiLevelType w:val="hybridMultilevel"/>
    <w:tmpl w:val="9DDC7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F"/>
    <w:rsid w:val="00072485"/>
    <w:rsid w:val="00083B77"/>
    <w:rsid w:val="0013248C"/>
    <w:rsid w:val="001809CF"/>
    <w:rsid w:val="002A32E2"/>
    <w:rsid w:val="002D46E9"/>
    <w:rsid w:val="0037410A"/>
    <w:rsid w:val="004033E6"/>
    <w:rsid w:val="004E5D6D"/>
    <w:rsid w:val="00560A56"/>
    <w:rsid w:val="005B671E"/>
    <w:rsid w:val="005C0B6B"/>
    <w:rsid w:val="006D1CFF"/>
    <w:rsid w:val="00724F91"/>
    <w:rsid w:val="00852044"/>
    <w:rsid w:val="008F5A4A"/>
    <w:rsid w:val="009156D9"/>
    <w:rsid w:val="009D60BF"/>
    <w:rsid w:val="00A46676"/>
    <w:rsid w:val="00A96457"/>
    <w:rsid w:val="00B54095"/>
    <w:rsid w:val="00B66E82"/>
    <w:rsid w:val="00BB4B23"/>
    <w:rsid w:val="00BE3437"/>
    <w:rsid w:val="00C04744"/>
    <w:rsid w:val="00C6789F"/>
    <w:rsid w:val="00C84FF2"/>
    <w:rsid w:val="00CD67E5"/>
    <w:rsid w:val="00CF0FDA"/>
    <w:rsid w:val="00D01907"/>
    <w:rsid w:val="00E61EF1"/>
    <w:rsid w:val="00F1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7410A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7410A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admin</cp:lastModifiedBy>
  <cp:revision>2</cp:revision>
  <cp:lastPrinted>2022-04-26T06:16:00Z</cp:lastPrinted>
  <dcterms:created xsi:type="dcterms:W3CDTF">2022-04-26T13:19:00Z</dcterms:created>
  <dcterms:modified xsi:type="dcterms:W3CDTF">2022-04-26T13:19:00Z</dcterms:modified>
</cp:coreProperties>
</file>